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5. Governance Documents (Bylaws)</w:t>
      </w:r>
    </w:p>
    <w:p>
      <w:r>
        <w:br/>
        <w:t>The bylaws of Free From Faith outline the rules and procedures for the governance of the charity. Below are key elements:</w:t>
        <w:br/>
        <w:br/>
        <w:t>- Board Composition:</w:t>
        <w:br/>
        <w:t xml:space="preserve">   - The board shall consist of a minimum of 3 and a maximum of 7 members.</w:t>
        <w:br/>
        <w:t xml:space="preserve">   - The board members shall be Canadian residents, with a majority being non-remunerated.</w:t>
        <w:br/>
        <w:br/>
        <w:t>- Board Responsibilities:</w:t>
        <w:br/>
        <w:t xml:space="preserve">   - The board is responsible for overseeing the charity’s strategic direction, financial management, and compliance with all legal and regulatory requirements.</w:t>
        <w:br/>
        <w:t xml:space="preserve">   - The board will meet at least four times per year, with additional meetings as necessary.</w:t>
        <w:br/>
        <w:br/>
        <w:t>- Decision-Making:</w:t>
        <w:br/>
        <w:t xml:space="preserve">   - Decisions will be made by a majority vote. In the event of a tie, the Chairperson shall have the deciding vote.</w:t>
        <w:br/>
        <w:t xml:space="preserve">   - Directors are expected to act in the charity’s best interest and disclose any potential conflicts of interest.</w:t>
        <w:br/>
        <w:br/>
        <w:t>- Membership:</w:t>
        <w:br/>
        <w:t xml:space="preserve">   - Membership will be open to individuals who support the charity’s mission and agree to abide by its bylaws.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