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6. Fundraising Plan</w:t>
      </w:r>
    </w:p>
    <w:p>
      <w:r>
        <w:br/>
        <w:t>Free From Faith’s fundraising plan will focus on building a sustainable financial model to support its programs and activities:</w:t>
        <w:br/>
        <w:br/>
        <w:t>- Online Fundraising Campaigns:</w:t>
        <w:br/>
        <w:t xml:space="preserve">   - We will launch online campaigns to solicit donations from individuals, using platforms like our website, social media, and crowdfunding websites. These campaigns will provide updates on how donations are used.</w:t>
        <w:br/>
        <w:br/>
        <w:t>- Annual Fundraising Events:</w:t>
        <w:br/>
        <w:t xml:space="preserve">   - We will host annual charity events, such as yoga retreats, silent auctions, and fundraising dinners, to raise funds for the charity’s initiatives.</w:t>
        <w:br/>
        <w:br/>
        <w:t>- Grant Applications:</w:t>
        <w:br/>
        <w:t xml:space="preserve">   - We will apply for grants from government and private foundations to fund specific programs related to mental health, wellness, and community service.</w:t>
        <w:br/>
        <w:br/>
        <w:t>- Corporate Sponsorships:</w:t>
        <w:br/>
        <w:t xml:space="preserve">   - We will partner with businesses and health/wellness brands to secure sponsorships for events, programs, and initiatives.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